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DBA73DF" w14:textId="77777777" w:rsidR="00440368" w:rsidRDefault="00440368" w:rsidP="00440368">
      <w:pPr>
        <w:pStyle w:val="Body"/>
        <w:spacing w:line="288" w:lineRule="auto"/>
        <w:jc w:val="center"/>
        <w:rPr>
          <w:rFonts w:ascii="Adobe Devanagari" w:hAnsi="Adobe Devanagari" w:cs="Adobe Devanagari"/>
          <w:sz w:val="28"/>
          <w:szCs w:val="28"/>
        </w:rPr>
      </w:pPr>
      <w:r w:rsidRPr="002C7941">
        <w:rPr>
          <w:rFonts w:ascii="Adobe Devanagari" w:hAnsi="Adobe Devanagari" w:cs="Adobe Devanagari"/>
          <w:sz w:val="28"/>
          <w:szCs w:val="28"/>
        </w:rPr>
        <w:t>Preface</w:t>
      </w:r>
    </w:p>
    <w:p w14:paraId="356FA559" w14:textId="264B4010" w:rsidR="0073081E" w:rsidRPr="002C7941" w:rsidRDefault="0073081E" w:rsidP="00440368">
      <w:pPr>
        <w:pStyle w:val="Body"/>
        <w:spacing w:line="288" w:lineRule="auto"/>
        <w:jc w:val="center"/>
        <w:rPr>
          <w:rFonts w:ascii="Adobe Devanagari" w:eastAsia="Garamond" w:hAnsi="Adobe Devanagari" w:cs="Adobe Devanagari"/>
          <w:sz w:val="28"/>
          <w:szCs w:val="28"/>
        </w:rPr>
      </w:pPr>
      <w:r>
        <w:rPr>
          <w:rFonts w:ascii="Adobe Devanagari" w:hAnsi="Adobe Devanagari" w:cs="Adobe Devanagari"/>
          <w:sz w:val="28"/>
          <w:szCs w:val="28"/>
        </w:rPr>
        <w:t>By Sara Kumar</w:t>
      </w:r>
    </w:p>
    <w:p w14:paraId="074ADA52" w14:textId="77777777" w:rsidR="00440368" w:rsidRPr="002C7941" w:rsidRDefault="00440368" w:rsidP="00440368">
      <w:pPr>
        <w:pStyle w:val="Body"/>
        <w:spacing w:line="288" w:lineRule="auto"/>
        <w:jc w:val="center"/>
        <w:rPr>
          <w:rFonts w:ascii="Adobe Devanagari" w:eastAsia="Garamond" w:hAnsi="Adobe Devanagari" w:cs="Adobe Devanagari"/>
          <w:sz w:val="28"/>
          <w:szCs w:val="28"/>
        </w:rPr>
      </w:pPr>
    </w:p>
    <w:p w14:paraId="5DA6388E" w14:textId="2AD9BA8D" w:rsidR="00440368" w:rsidRPr="002C7941" w:rsidRDefault="00440368" w:rsidP="00440368">
      <w:pPr>
        <w:pStyle w:val="Body"/>
        <w:spacing w:line="360" w:lineRule="auto"/>
        <w:rPr>
          <w:rFonts w:ascii="Adobe Devanagari" w:eastAsia="Garamond" w:hAnsi="Adobe Devanagari" w:cs="Adobe Devanagari"/>
          <w:sz w:val="28"/>
          <w:szCs w:val="28"/>
        </w:rPr>
      </w:pPr>
      <w:r w:rsidRPr="002C7941">
        <w:rPr>
          <w:rFonts w:ascii="Adobe Devanagari" w:eastAsia="Garamond" w:hAnsi="Adobe Devanagari" w:cs="Adobe Devanagari"/>
          <w:sz w:val="28"/>
          <w:szCs w:val="28"/>
        </w:rPr>
        <w:tab/>
        <w:t xml:space="preserve">The election on Tuesday, November 6, </w:t>
      </w:r>
      <w:proofErr w:type="gramStart"/>
      <w:r w:rsidRPr="002C7941">
        <w:rPr>
          <w:rFonts w:ascii="Adobe Devanagari" w:eastAsia="Garamond" w:hAnsi="Adobe Devanagari" w:cs="Adobe Devanagari"/>
          <w:sz w:val="28"/>
          <w:szCs w:val="28"/>
        </w:rPr>
        <w:t>1860</w:t>
      </w:r>
      <w:proofErr w:type="gramEnd"/>
      <w:r w:rsidRPr="002C7941">
        <w:rPr>
          <w:rFonts w:ascii="Adobe Devanagari" w:eastAsia="Garamond" w:hAnsi="Adobe Devanagari" w:cs="Adobe Devanagari"/>
          <w:sz w:val="28"/>
          <w:szCs w:val="28"/>
        </w:rPr>
        <w:t xml:space="preserve"> was won by Republican presidential candidate Abraham Lincoln and his vice-presidential running mate, also a Republican, named Hannibal Hamlin with </w:t>
      </w:r>
      <w:r w:rsidR="003A168F">
        <w:rPr>
          <w:rFonts w:ascii="Adobe Devanagari" w:eastAsia="Garamond" w:hAnsi="Adobe Devanagari" w:cs="Adobe Devanagari"/>
          <w:sz w:val="28"/>
          <w:szCs w:val="28"/>
        </w:rPr>
        <w:t xml:space="preserve">just </w:t>
      </w:r>
      <w:r w:rsidRPr="002C7941">
        <w:rPr>
          <w:rFonts w:ascii="Adobe Devanagari" w:eastAsia="Garamond" w:hAnsi="Adobe Devanagari" w:cs="Adobe Devanagari"/>
          <w:sz w:val="28"/>
          <w:szCs w:val="28"/>
        </w:rPr>
        <w:t>less than 40% of the popular vote. Their victory in the Electoral College was secure, as the Democratic candidate Stephen Douglas was voted for mainly in the Northern states, where the Republican ticket carried the Electoral College. Additionally, Stephen Douglas was not supported well in the Southern states, and he was not nominated at the Democratic convention held in Charleston, South Carolina in April of 1860, when fifty Southern Democrats walked out of the convention. This action set the stage for South Carolina to become the first state to secede from the Union on December 20, 1860. On voting day, prior to the secession of South Carolina, Abraham Lincoln secured 1,8</w:t>
      </w:r>
      <w:r w:rsidR="00F14FF2">
        <w:rPr>
          <w:rFonts w:ascii="Adobe Devanagari" w:eastAsia="Garamond" w:hAnsi="Adobe Devanagari" w:cs="Adobe Devanagari"/>
          <w:sz w:val="28"/>
          <w:szCs w:val="28"/>
        </w:rPr>
        <w:t>67,198</w:t>
      </w:r>
      <w:r w:rsidRPr="002C7941">
        <w:rPr>
          <w:rFonts w:ascii="Adobe Devanagari" w:eastAsia="Garamond" w:hAnsi="Adobe Devanagari" w:cs="Adobe Devanagari"/>
          <w:sz w:val="28"/>
          <w:szCs w:val="28"/>
        </w:rPr>
        <w:t xml:space="preserve"> popular votes, and Stephen Douglas secured 1,3</w:t>
      </w:r>
      <w:r w:rsidR="00F14FF2">
        <w:rPr>
          <w:rFonts w:ascii="Adobe Devanagari" w:eastAsia="Garamond" w:hAnsi="Adobe Devanagari" w:cs="Adobe Devanagari"/>
          <w:sz w:val="28"/>
          <w:szCs w:val="28"/>
        </w:rPr>
        <w:t>79,434</w:t>
      </w:r>
      <w:r w:rsidRPr="002C7941">
        <w:rPr>
          <w:rFonts w:ascii="Adobe Devanagari" w:eastAsia="Garamond" w:hAnsi="Adobe Devanagari" w:cs="Adobe Devanagari"/>
          <w:sz w:val="28"/>
          <w:szCs w:val="28"/>
        </w:rPr>
        <w:t xml:space="preserve"> popular votes. Also on the ballot were John Breckinridge, a Southern Democrat</w:t>
      </w:r>
      <w:r w:rsidR="00887314">
        <w:rPr>
          <w:rFonts w:ascii="Adobe Devanagari" w:eastAsia="Garamond" w:hAnsi="Adobe Devanagari" w:cs="Adobe Devanagari"/>
          <w:sz w:val="28"/>
          <w:szCs w:val="28"/>
        </w:rPr>
        <w:t>,</w:t>
      </w:r>
      <w:r w:rsidRPr="002C7941">
        <w:rPr>
          <w:rFonts w:ascii="Adobe Devanagari" w:eastAsia="Garamond" w:hAnsi="Adobe Devanagari" w:cs="Adobe Devanagari"/>
          <w:sz w:val="28"/>
          <w:szCs w:val="28"/>
        </w:rPr>
        <w:t xml:space="preserve"> and John Bell, a Constitutional Union candidate. Abraham Lincoln viewed the election as a success and as a mandate to step into the national arena at a moment of great crisis.</w:t>
      </w:r>
      <w:r w:rsidR="009B4BE5">
        <w:rPr>
          <w:rFonts w:ascii="Adobe Devanagari" w:eastAsia="Garamond" w:hAnsi="Adobe Devanagari" w:cs="Adobe Devanagari"/>
          <w:sz w:val="28"/>
          <w:szCs w:val="28"/>
        </w:rPr>
        <w:t xml:space="preserve"> </w:t>
      </w:r>
      <w:r w:rsidR="008D6ACA">
        <w:rPr>
          <w:rStyle w:val="FootnoteReference"/>
          <w:rFonts w:ascii="Adobe Devanagari" w:eastAsia="Garamond" w:hAnsi="Adobe Devanagari" w:cs="Adobe Devanagari"/>
          <w:sz w:val="28"/>
          <w:szCs w:val="28"/>
        </w:rPr>
        <w:footnoteReference w:id="1"/>
      </w:r>
    </w:p>
    <w:p w14:paraId="4CD48557" w14:textId="5A6436DD" w:rsidR="00440368" w:rsidRPr="002C7941" w:rsidRDefault="00440368" w:rsidP="00440368">
      <w:pPr>
        <w:pStyle w:val="Body"/>
        <w:spacing w:line="360" w:lineRule="auto"/>
        <w:rPr>
          <w:rFonts w:ascii="Adobe Devanagari" w:eastAsia="Garamond" w:hAnsi="Adobe Devanagari" w:cs="Adobe Devanagari"/>
          <w:sz w:val="28"/>
          <w:szCs w:val="28"/>
        </w:rPr>
      </w:pPr>
      <w:r w:rsidRPr="002C7941">
        <w:rPr>
          <w:rFonts w:ascii="Adobe Devanagari" w:eastAsia="Garamond" w:hAnsi="Adobe Devanagari" w:cs="Adobe Devanagari"/>
          <w:sz w:val="28"/>
          <w:szCs w:val="28"/>
        </w:rPr>
        <w:tab/>
        <w:t xml:space="preserve">Senator Andrew Johnson had a </w:t>
      </w:r>
      <w:r w:rsidR="00436871">
        <w:rPr>
          <w:rFonts w:ascii="Adobe Devanagari" w:eastAsia="Garamond" w:hAnsi="Adobe Devanagari" w:cs="Adobe Devanagari"/>
          <w:sz w:val="28"/>
          <w:szCs w:val="28"/>
        </w:rPr>
        <w:t>real</w:t>
      </w:r>
      <w:r w:rsidRPr="002C7941">
        <w:rPr>
          <w:rFonts w:ascii="Adobe Devanagari" w:eastAsia="Garamond" w:hAnsi="Adobe Devanagari" w:cs="Adobe Devanagari"/>
          <w:sz w:val="28"/>
          <w:szCs w:val="28"/>
        </w:rPr>
        <w:t xml:space="preserve"> decision to make, and he began a speech in the Senate on the evening of Tuesday, December 18, 1860</w:t>
      </w:r>
      <w:r w:rsidR="008B20DD">
        <w:rPr>
          <w:rFonts w:ascii="Adobe Devanagari" w:eastAsia="Garamond" w:hAnsi="Adobe Devanagari" w:cs="Adobe Devanagari"/>
          <w:sz w:val="28"/>
          <w:szCs w:val="28"/>
        </w:rPr>
        <w:t>, that lasted into the next day</w:t>
      </w:r>
      <w:r w:rsidRPr="002C7941">
        <w:rPr>
          <w:rFonts w:ascii="Adobe Devanagari" w:eastAsia="Garamond" w:hAnsi="Adobe Devanagari" w:cs="Adobe Devanagari"/>
          <w:sz w:val="28"/>
          <w:szCs w:val="28"/>
        </w:rPr>
        <w:t>. Andrew sp</w:t>
      </w:r>
      <w:r>
        <w:rPr>
          <w:rFonts w:ascii="Adobe Devanagari" w:eastAsia="Garamond" w:hAnsi="Adobe Devanagari" w:cs="Adobe Devanagari"/>
          <w:sz w:val="28"/>
          <w:szCs w:val="28"/>
        </w:rPr>
        <w:t>oke</w:t>
      </w:r>
      <w:r w:rsidRPr="002C7941">
        <w:rPr>
          <w:rFonts w:ascii="Adobe Devanagari" w:eastAsia="Garamond" w:hAnsi="Adobe Devanagari" w:cs="Adobe Devanagari"/>
          <w:sz w:val="28"/>
          <w:szCs w:val="28"/>
        </w:rPr>
        <w:t xml:space="preserve"> that Tuesday from the Senate floor, </w:t>
      </w:r>
      <w:r w:rsidRPr="002C7941">
        <w:rPr>
          <w:rFonts w:ascii="Adobe Devanagari" w:hAnsi="Adobe Devanagari" w:cs="Adobe Devanagari"/>
          <w:sz w:val="28"/>
          <w:szCs w:val="28"/>
        </w:rPr>
        <w:t xml:space="preserve">“This is the basis upon which a portion of the people of Tennessee, irrespective of party, propose to fight this battle. We believe that our true position is inside of the Union. We deny the doctrine of secession; we deny </w:t>
      </w:r>
      <w:r w:rsidRPr="002C7941">
        <w:rPr>
          <w:rFonts w:ascii="Adobe Devanagari" w:hAnsi="Adobe Devanagari" w:cs="Adobe Devanagari"/>
          <w:sz w:val="28"/>
          <w:szCs w:val="28"/>
        </w:rPr>
        <w:lastRenderedPageBreak/>
        <w:t xml:space="preserve">that a State has the power, of its own volition, to withdraw from the Confederacy. We are not willing to do an unconstitutional act, to induce or to coerce others to comply with the Constitution of the United States. We prefer complying with the Constitution and fighting our </w:t>
      </w:r>
      <w:proofErr w:type="gramStart"/>
      <w:r w:rsidRPr="002C7941">
        <w:rPr>
          <w:rFonts w:ascii="Adobe Devanagari" w:hAnsi="Adobe Devanagari" w:cs="Adobe Devanagari"/>
          <w:sz w:val="28"/>
          <w:szCs w:val="28"/>
        </w:rPr>
        <w:t>battle, and</w:t>
      </w:r>
      <w:proofErr w:type="gramEnd"/>
      <w:r w:rsidRPr="002C7941">
        <w:rPr>
          <w:rFonts w:ascii="Adobe Devanagari" w:hAnsi="Adobe Devanagari" w:cs="Adobe Devanagari"/>
          <w:sz w:val="28"/>
          <w:szCs w:val="28"/>
        </w:rPr>
        <w:t xml:space="preserve"> making our demand inside of the Union.” Senator Andrew Johnson would become the only Southern senator to remain true to the Union cause, and President A</w:t>
      </w:r>
      <w:r>
        <w:rPr>
          <w:rFonts w:ascii="Adobe Devanagari" w:hAnsi="Adobe Devanagari" w:cs="Adobe Devanagari"/>
          <w:sz w:val="28"/>
          <w:szCs w:val="28"/>
        </w:rPr>
        <w:t>braham Lincoln</w:t>
      </w:r>
      <w:r w:rsidRPr="002C7941">
        <w:rPr>
          <w:rFonts w:ascii="Adobe Devanagari" w:hAnsi="Adobe Devanagari" w:cs="Adobe Devanagari"/>
          <w:sz w:val="28"/>
          <w:szCs w:val="28"/>
        </w:rPr>
        <w:t xml:space="preserve"> would name him Military Governor of Tennessee on March 3, 1862. The next inauguration for president and vice-president was set for March 4 of 186</w:t>
      </w:r>
      <w:r w:rsidR="00AB2667">
        <w:rPr>
          <w:rFonts w:ascii="Adobe Devanagari" w:hAnsi="Adobe Devanagari" w:cs="Adobe Devanagari"/>
          <w:sz w:val="28"/>
          <w:szCs w:val="28"/>
        </w:rPr>
        <w:t>5</w:t>
      </w:r>
      <w:r w:rsidRPr="002C7941">
        <w:rPr>
          <w:rFonts w:ascii="Adobe Devanagari" w:hAnsi="Adobe Devanagari" w:cs="Adobe Devanagari"/>
          <w:sz w:val="28"/>
          <w:szCs w:val="28"/>
        </w:rPr>
        <w:t xml:space="preserve">. </w:t>
      </w:r>
      <w:r w:rsidRPr="002C7941">
        <w:rPr>
          <w:rFonts w:ascii="Adobe Devanagari" w:eastAsia="Garamond" w:hAnsi="Adobe Devanagari" w:cs="Adobe Devanagari"/>
          <w:sz w:val="28"/>
          <w:szCs w:val="28"/>
          <w:vertAlign w:val="superscript"/>
        </w:rPr>
        <w:footnoteReference w:id="2"/>
      </w:r>
    </w:p>
    <w:p w14:paraId="100C27B6" w14:textId="25EFC0B9" w:rsidR="00440368" w:rsidRPr="002C7941" w:rsidRDefault="00440368" w:rsidP="00440368">
      <w:pPr>
        <w:pStyle w:val="Body"/>
        <w:spacing w:line="360" w:lineRule="auto"/>
        <w:rPr>
          <w:rFonts w:ascii="Adobe Devanagari" w:eastAsia="Garamond" w:hAnsi="Adobe Devanagari" w:cs="Adobe Devanagari"/>
          <w:sz w:val="28"/>
          <w:szCs w:val="28"/>
        </w:rPr>
      </w:pPr>
      <w:r w:rsidRPr="002C7941">
        <w:rPr>
          <w:rFonts w:ascii="Adobe Devanagari" w:eastAsia="Garamond" w:hAnsi="Adobe Devanagari" w:cs="Adobe Devanagari"/>
          <w:sz w:val="28"/>
          <w:szCs w:val="28"/>
        </w:rPr>
        <w:tab/>
        <w:t>The Senator from Tennessee continue</w:t>
      </w:r>
      <w:r>
        <w:rPr>
          <w:rFonts w:ascii="Adobe Devanagari" w:eastAsia="Garamond" w:hAnsi="Adobe Devanagari" w:cs="Adobe Devanagari"/>
          <w:sz w:val="28"/>
          <w:szCs w:val="28"/>
        </w:rPr>
        <w:t>d</w:t>
      </w:r>
      <w:r w:rsidRPr="002C7941">
        <w:rPr>
          <w:rFonts w:ascii="Adobe Devanagari" w:eastAsia="Garamond" w:hAnsi="Adobe Devanagari" w:cs="Adobe Devanagari"/>
          <w:sz w:val="28"/>
          <w:szCs w:val="28"/>
        </w:rPr>
        <w:t xml:space="preserve"> his speech much </w:t>
      </w:r>
      <w:proofErr w:type="gramStart"/>
      <w:r w:rsidRPr="002C7941">
        <w:rPr>
          <w:rFonts w:ascii="Adobe Devanagari" w:eastAsia="Garamond" w:hAnsi="Adobe Devanagari" w:cs="Adobe Devanagari"/>
          <w:sz w:val="28"/>
          <w:szCs w:val="28"/>
        </w:rPr>
        <w:t>later on</w:t>
      </w:r>
      <w:proofErr w:type="gramEnd"/>
      <w:r w:rsidRPr="002C7941">
        <w:rPr>
          <w:rFonts w:ascii="Adobe Devanagari" w:eastAsia="Garamond" w:hAnsi="Adobe Devanagari" w:cs="Adobe Devanagari"/>
          <w:sz w:val="28"/>
          <w:szCs w:val="28"/>
        </w:rPr>
        <w:t xml:space="preserve">, </w:t>
      </w:r>
      <w:r w:rsidRPr="002C7941">
        <w:rPr>
          <w:rFonts w:ascii="Adobe Devanagari" w:hAnsi="Adobe Devanagari" w:cs="Adobe Devanagari"/>
          <w:sz w:val="28"/>
          <w:szCs w:val="28"/>
        </w:rPr>
        <w:t xml:space="preserve">“There are many ideas afloat about this threatened dissolution, and it is time to speak out. The question arises in reference to the protection and preservation of the institution of slavery, whether dissolution is a remedy or will </w:t>
      </w:r>
      <w:proofErr w:type="gramStart"/>
      <w:r w:rsidRPr="002C7941">
        <w:rPr>
          <w:rFonts w:ascii="Adobe Devanagari" w:hAnsi="Adobe Devanagari" w:cs="Adobe Devanagari"/>
          <w:sz w:val="28"/>
          <w:szCs w:val="28"/>
        </w:rPr>
        <w:t>give to</w:t>
      </w:r>
      <w:proofErr w:type="gramEnd"/>
      <w:r w:rsidRPr="002C7941">
        <w:rPr>
          <w:rFonts w:ascii="Adobe Devanagari" w:hAnsi="Adobe Devanagari" w:cs="Adobe Devanagari"/>
          <w:sz w:val="28"/>
          <w:szCs w:val="28"/>
        </w:rPr>
        <w:t xml:space="preserve"> it protection. I avow here, today, that if I were an Abolitionist, and wanted to accomplish the overthrow and abolition of the institution of slavery in the southern States, the first step that I would take would be to break the bonds of this </w:t>
      </w:r>
      <w:proofErr w:type="gramStart"/>
      <w:r w:rsidRPr="002C7941">
        <w:rPr>
          <w:rFonts w:ascii="Adobe Devanagari" w:hAnsi="Adobe Devanagari" w:cs="Adobe Devanagari"/>
          <w:sz w:val="28"/>
          <w:szCs w:val="28"/>
        </w:rPr>
        <w:t>Union, and</w:t>
      </w:r>
      <w:proofErr w:type="gramEnd"/>
      <w:r w:rsidRPr="002C7941">
        <w:rPr>
          <w:rFonts w:ascii="Adobe Devanagari" w:hAnsi="Adobe Devanagari" w:cs="Adobe Devanagari"/>
          <w:sz w:val="28"/>
          <w:szCs w:val="28"/>
        </w:rPr>
        <w:t xml:space="preserve"> dissolve this government. I believe the continuance of slavery depends upon the preservation of this Union, and </w:t>
      </w:r>
      <w:proofErr w:type="gramStart"/>
      <w:r w:rsidRPr="002C7941">
        <w:rPr>
          <w:rFonts w:ascii="Adobe Devanagari" w:hAnsi="Adobe Devanagari" w:cs="Adobe Devanagari"/>
          <w:sz w:val="28"/>
          <w:szCs w:val="28"/>
        </w:rPr>
        <w:t>a compliance</w:t>
      </w:r>
      <w:proofErr w:type="gramEnd"/>
      <w:r w:rsidRPr="002C7941">
        <w:rPr>
          <w:rFonts w:ascii="Adobe Devanagari" w:hAnsi="Adobe Devanagari" w:cs="Adobe Devanagari"/>
          <w:sz w:val="28"/>
          <w:szCs w:val="28"/>
        </w:rPr>
        <w:t xml:space="preserve"> with all the guarantees of the </w:t>
      </w:r>
      <w:proofErr w:type="gramStart"/>
      <w:r w:rsidRPr="002C7941">
        <w:rPr>
          <w:rFonts w:ascii="Adobe Devanagari" w:hAnsi="Adobe Devanagari" w:cs="Adobe Devanagari"/>
          <w:sz w:val="28"/>
          <w:szCs w:val="28"/>
        </w:rPr>
        <w:t>Constitution.”</w:t>
      </w:r>
      <w:proofErr w:type="gramEnd"/>
      <w:r w:rsidRPr="002C7941">
        <w:rPr>
          <w:rFonts w:ascii="Adobe Devanagari" w:hAnsi="Adobe Devanagari" w:cs="Adobe Devanagari"/>
          <w:sz w:val="28"/>
          <w:szCs w:val="28"/>
        </w:rPr>
        <w:t xml:space="preserve"> Senator Andrew Johnson was not yet interested in moving with the arc of justice. Neither was he interested in promoting a constitutional amendment on the eradication of slavery, like some leading members of the Senate and the House of </w:t>
      </w:r>
      <w:r w:rsidRPr="002C7941">
        <w:rPr>
          <w:rFonts w:ascii="Adobe Devanagari" w:hAnsi="Adobe Devanagari" w:cs="Adobe Devanagari"/>
          <w:sz w:val="28"/>
          <w:szCs w:val="28"/>
        </w:rPr>
        <w:lastRenderedPageBreak/>
        <w:t xml:space="preserve">Representatives at the time. Senator Andrew Johnson wanted to stay with the Union for many reasons: to maintain his business and property assets, to do what was needed to remain a senator in the United States Congress, and to place his bets on a bid for the White House in the future. Andrew Johnson also had a prejudice for moneyed Southern plantation owners, like Jefferson Finis Davis, who served in the United States Senate from Mississippi. Andrew was a tailor by trade, and he had worked </w:t>
      </w:r>
      <w:r w:rsidR="00A371EB">
        <w:rPr>
          <w:rFonts w:ascii="Adobe Devanagari" w:hAnsi="Adobe Devanagari" w:cs="Adobe Devanagari"/>
          <w:sz w:val="28"/>
          <w:szCs w:val="28"/>
        </w:rPr>
        <w:t xml:space="preserve">in many </w:t>
      </w:r>
      <w:r w:rsidRPr="002C7941">
        <w:rPr>
          <w:rFonts w:ascii="Adobe Devanagari" w:hAnsi="Adobe Devanagari" w:cs="Adobe Devanagari"/>
          <w:sz w:val="28"/>
          <w:szCs w:val="28"/>
        </w:rPr>
        <w:t xml:space="preserve">political </w:t>
      </w:r>
      <w:r w:rsidR="00820CB5">
        <w:rPr>
          <w:rFonts w:ascii="Adobe Devanagari" w:hAnsi="Adobe Devanagari" w:cs="Adobe Devanagari"/>
          <w:sz w:val="28"/>
          <w:szCs w:val="28"/>
        </w:rPr>
        <w:t>jobs in Tennessee</w:t>
      </w:r>
      <w:r w:rsidRPr="002C7941">
        <w:rPr>
          <w:rFonts w:ascii="Adobe Devanagari" w:hAnsi="Adobe Devanagari" w:cs="Adobe Devanagari"/>
          <w:sz w:val="28"/>
          <w:szCs w:val="28"/>
        </w:rPr>
        <w:t>, starting as an alderman of a town named Green</w:t>
      </w:r>
      <w:r w:rsidR="00F0151C">
        <w:rPr>
          <w:rFonts w:ascii="Adobe Devanagari" w:hAnsi="Adobe Devanagari" w:cs="Adobe Devanagari"/>
          <w:sz w:val="28"/>
          <w:szCs w:val="28"/>
        </w:rPr>
        <w:t>e</w:t>
      </w:r>
      <w:r w:rsidRPr="002C7941">
        <w:rPr>
          <w:rFonts w:ascii="Adobe Devanagari" w:hAnsi="Adobe Devanagari" w:cs="Adobe Devanagari"/>
          <w:sz w:val="28"/>
          <w:szCs w:val="28"/>
        </w:rPr>
        <w:t xml:space="preserve">ville. The senator from Tennessee supported poor White laborers who needed an extra hand from the government to get started in life with land and funding. Andrew would not support a move for secession for Tennessee, and he believed the United States government would win the Civil War. </w:t>
      </w:r>
      <w:r w:rsidRPr="002C7941">
        <w:rPr>
          <w:rFonts w:ascii="Adobe Devanagari" w:eastAsia="Garamond" w:hAnsi="Adobe Devanagari" w:cs="Adobe Devanagari"/>
          <w:sz w:val="28"/>
          <w:szCs w:val="28"/>
          <w:vertAlign w:val="superscript"/>
        </w:rPr>
        <w:footnoteReference w:id="3"/>
      </w:r>
    </w:p>
    <w:p w14:paraId="3D5C2112" w14:textId="1A1EE7DE" w:rsidR="00440368" w:rsidRPr="002C7941" w:rsidRDefault="00440368" w:rsidP="00440368">
      <w:pPr>
        <w:pStyle w:val="Body"/>
        <w:spacing w:line="360" w:lineRule="auto"/>
        <w:rPr>
          <w:rFonts w:ascii="Adobe Devanagari" w:eastAsia="Garamond" w:hAnsi="Adobe Devanagari" w:cs="Adobe Devanagari"/>
          <w:sz w:val="28"/>
          <w:szCs w:val="28"/>
        </w:rPr>
      </w:pPr>
      <w:r w:rsidRPr="002C7941">
        <w:rPr>
          <w:rFonts w:ascii="Adobe Devanagari" w:eastAsia="Garamond" w:hAnsi="Adobe Devanagari" w:cs="Adobe Devanagari"/>
          <w:sz w:val="28"/>
          <w:szCs w:val="28"/>
        </w:rPr>
        <w:tab/>
        <w:t>South Carolina seceded from the United States on the day after Senator Andrew Johnson finished his speech on the Senate floor. Andrew</w:t>
      </w:r>
      <w:r w:rsidRPr="002C7941">
        <w:rPr>
          <w:rFonts w:ascii="Adobe Devanagari" w:hAnsi="Adobe Devanagari" w:cs="Adobe Devanagari"/>
          <w:sz w:val="28"/>
          <w:szCs w:val="28"/>
        </w:rPr>
        <w:t xml:space="preserve">’s </w:t>
      </w:r>
      <w:proofErr w:type="gramStart"/>
      <w:r w:rsidRPr="002C7941">
        <w:rPr>
          <w:rFonts w:ascii="Adobe Devanagari" w:hAnsi="Adobe Devanagari" w:cs="Adobe Devanagari"/>
          <w:sz w:val="28"/>
          <w:szCs w:val="28"/>
        </w:rPr>
        <w:t>first born</w:t>
      </w:r>
      <w:proofErr w:type="gramEnd"/>
      <w:r w:rsidRPr="002C7941">
        <w:rPr>
          <w:rFonts w:ascii="Adobe Devanagari" w:hAnsi="Adobe Devanagari" w:cs="Adobe Devanagari"/>
          <w:sz w:val="28"/>
          <w:szCs w:val="28"/>
        </w:rPr>
        <w:t xml:space="preserve"> son, Charles Johnson, wr</w:t>
      </w:r>
      <w:r>
        <w:rPr>
          <w:rFonts w:ascii="Adobe Devanagari" w:hAnsi="Adobe Devanagari" w:cs="Adobe Devanagari"/>
          <w:sz w:val="28"/>
          <w:szCs w:val="28"/>
        </w:rPr>
        <w:t>ote</w:t>
      </w:r>
      <w:r w:rsidRPr="002C7941">
        <w:rPr>
          <w:rFonts w:ascii="Adobe Devanagari" w:hAnsi="Adobe Devanagari" w:cs="Adobe Devanagari"/>
          <w:sz w:val="28"/>
          <w:szCs w:val="28"/>
        </w:rPr>
        <w:t xml:space="preserve"> to his father on New Year’s Day of 1861 from Green</w:t>
      </w:r>
      <w:r>
        <w:rPr>
          <w:rFonts w:ascii="Adobe Devanagari" w:hAnsi="Adobe Devanagari" w:cs="Adobe Devanagari"/>
          <w:sz w:val="28"/>
          <w:szCs w:val="28"/>
        </w:rPr>
        <w:t>e</w:t>
      </w:r>
      <w:r w:rsidRPr="002C7941">
        <w:rPr>
          <w:rFonts w:ascii="Adobe Devanagari" w:hAnsi="Adobe Devanagari" w:cs="Adobe Devanagari"/>
          <w:sz w:val="28"/>
          <w:szCs w:val="28"/>
        </w:rPr>
        <w:t xml:space="preserve">ville, Tennessee, saying “What will the future reader of history think when reading of the United States from its formation through its bloody revolution, through its years of prosperity and happiness down to its ignoble fall! And in what light will the south stand upon the pages of that history, they the rebellious party; tearing asunder the bonds of the union, in vindication of the right to enslave a portion of their fellow creatures; the north contending for universal liberty[.]” Charles would not survive through to the end of the Civil War that ensued after Andrew’s speech in December of 1860. The family of Andrew </w:t>
      </w:r>
      <w:r w:rsidRPr="002C7941">
        <w:rPr>
          <w:rFonts w:ascii="Adobe Devanagari" w:hAnsi="Adobe Devanagari" w:cs="Adobe Devanagari"/>
          <w:sz w:val="28"/>
          <w:szCs w:val="28"/>
        </w:rPr>
        <w:lastRenderedPageBreak/>
        <w:t xml:space="preserve">would find themselves moving from state to state in the North and in contested border states, trying to fight a war that would last until April of 1865. Andrew had </w:t>
      </w:r>
      <w:r>
        <w:rPr>
          <w:rFonts w:ascii="Adobe Devanagari" w:hAnsi="Adobe Devanagari" w:cs="Adobe Devanagari"/>
          <w:sz w:val="28"/>
          <w:szCs w:val="28"/>
        </w:rPr>
        <w:t xml:space="preserve">enslaved nine Black Americans, </w:t>
      </w:r>
      <w:r w:rsidR="00E05480">
        <w:rPr>
          <w:rFonts w:ascii="Adobe Devanagari" w:hAnsi="Adobe Devanagari" w:cs="Adobe Devanagari"/>
          <w:sz w:val="28"/>
          <w:szCs w:val="28"/>
        </w:rPr>
        <w:t xml:space="preserve">for </w:t>
      </w:r>
      <w:r>
        <w:rPr>
          <w:rFonts w:ascii="Adobe Devanagari" w:hAnsi="Adobe Devanagari" w:cs="Adobe Devanagari"/>
          <w:sz w:val="28"/>
          <w:szCs w:val="28"/>
        </w:rPr>
        <w:t>some of whom,</w:t>
      </w:r>
      <w:r w:rsidR="00E05480">
        <w:rPr>
          <w:rFonts w:ascii="Adobe Devanagari" w:hAnsi="Adobe Devanagari" w:cs="Adobe Devanagari"/>
          <w:sz w:val="28"/>
          <w:szCs w:val="28"/>
        </w:rPr>
        <w:t xml:space="preserve"> there is a written record of payment</w:t>
      </w:r>
      <w:r w:rsidR="00EF772B">
        <w:rPr>
          <w:rFonts w:ascii="Adobe Devanagari" w:hAnsi="Adobe Devanagari" w:cs="Adobe Devanagari"/>
          <w:sz w:val="28"/>
          <w:szCs w:val="28"/>
        </w:rPr>
        <w:t>,</w:t>
      </w:r>
      <w:r w:rsidRPr="002C7941">
        <w:rPr>
          <w:rFonts w:ascii="Adobe Devanagari" w:hAnsi="Adobe Devanagari" w:cs="Adobe Devanagari"/>
          <w:sz w:val="28"/>
          <w:szCs w:val="28"/>
        </w:rPr>
        <w:t xml:space="preserve"> prior to the beginning of the Civil War and prior to </w:t>
      </w:r>
      <w:r w:rsidR="00B33328">
        <w:rPr>
          <w:rFonts w:ascii="Adobe Devanagari" w:hAnsi="Adobe Devanagari" w:cs="Adobe Devanagari"/>
          <w:sz w:val="28"/>
          <w:szCs w:val="28"/>
        </w:rPr>
        <w:t xml:space="preserve">Andrew’s </w:t>
      </w:r>
      <w:r w:rsidRPr="002C7941">
        <w:rPr>
          <w:rFonts w:ascii="Adobe Devanagari" w:hAnsi="Adobe Devanagari" w:cs="Adobe Devanagari"/>
          <w:sz w:val="28"/>
          <w:szCs w:val="28"/>
        </w:rPr>
        <w:t xml:space="preserve">speech on the Senate floor. Their lives too would change forever. </w:t>
      </w:r>
      <w:r w:rsidRPr="002C7941">
        <w:rPr>
          <w:rFonts w:ascii="Adobe Devanagari" w:eastAsia="Garamond" w:hAnsi="Adobe Devanagari" w:cs="Adobe Devanagari"/>
          <w:sz w:val="28"/>
          <w:szCs w:val="28"/>
          <w:vertAlign w:val="superscript"/>
        </w:rPr>
        <w:footnoteReference w:id="4"/>
      </w:r>
      <w:r w:rsidRPr="002C7941">
        <w:rPr>
          <w:rFonts w:ascii="Adobe Devanagari" w:hAnsi="Adobe Devanagari" w:cs="Adobe Devanagari"/>
          <w:sz w:val="28"/>
          <w:szCs w:val="28"/>
        </w:rPr>
        <w:t xml:space="preserve">   </w:t>
      </w:r>
    </w:p>
    <w:p w14:paraId="69BCAF94" w14:textId="77777777" w:rsidR="00440368" w:rsidRDefault="00440368"/>
    <w:sectPr w:rsidR="00440368">
      <w:footerReference w:type="default" r:id="rId7"/>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05EC697" w14:textId="77777777" w:rsidR="00A2080F" w:rsidRDefault="00A2080F" w:rsidP="00440368">
      <w:pPr>
        <w:spacing w:after="0" w:line="240" w:lineRule="auto"/>
      </w:pPr>
      <w:r>
        <w:separator/>
      </w:r>
    </w:p>
  </w:endnote>
  <w:endnote w:type="continuationSeparator" w:id="0">
    <w:p w14:paraId="33A235AC" w14:textId="77777777" w:rsidR="00A2080F" w:rsidRDefault="00A2080F" w:rsidP="0044036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Helvetica">
    <w:panose1 w:val="020B0604020202020204"/>
    <w:charset w:val="00"/>
    <w:family w:val="swiss"/>
    <w:pitch w:val="variable"/>
    <w:sig w:usb0="E0002EFF" w:usb1="C000785B" w:usb2="00000009" w:usb3="00000000" w:csb0="000001FF" w:csb1="00000000"/>
  </w:font>
  <w:font w:name="Arial Unicode MS">
    <w:panose1 w:val="020B0604020202020204"/>
    <w:charset w:val="00"/>
    <w:family w:val="roman"/>
    <w:pitch w:val="default"/>
  </w:font>
  <w:font w:name="Adobe Devanagari">
    <w:panose1 w:val="02040503050201020203"/>
    <w:charset w:val="00"/>
    <w:family w:val="roman"/>
    <w:notTrueType/>
    <w:pitch w:val="variable"/>
    <w:sig w:usb0="00008003" w:usb1="00000000" w:usb2="00000000" w:usb3="00000000" w:csb0="00000001" w:csb1="00000000"/>
  </w:font>
  <w:font w:name="Garamond">
    <w:panose1 w:val="02020404030301010803"/>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FDFBFB8" w14:textId="77777777" w:rsidR="00855813" w:rsidRDefault="00855813">
    <w:pPr>
      <w:tabs>
        <w:tab w:val="center" w:pos="4550"/>
        <w:tab w:val="left" w:pos="5818"/>
      </w:tabs>
      <w:ind w:right="260"/>
      <w:jc w:val="right"/>
      <w:rPr>
        <w:color w:val="071320" w:themeColor="text2" w:themeShade="80"/>
      </w:rPr>
    </w:pPr>
    <w:r>
      <w:rPr>
        <w:color w:val="2C7FCE" w:themeColor="text2" w:themeTint="99"/>
        <w:spacing w:val="60"/>
      </w:rPr>
      <w:t>Page</w:t>
    </w:r>
    <w:r>
      <w:rPr>
        <w:color w:val="2C7FCE" w:themeColor="text2" w:themeTint="99"/>
      </w:rPr>
      <w:t xml:space="preserve"> </w:t>
    </w:r>
    <w:r>
      <w:rPr>
        <w:color w:val="0A1D30" w:themeColor="text2" w:themeShade="BF"/>
      </w:rPr>
      <w:fldChar w:fldCharType="begin"/>
    </w:r>
    <w:r>
      <w:rPr>
        <w:color w:val="0A1D30" w:themeColor="text2" w:themeShade="BF"/>
      </w:rPr>
      <w:instrText xml:space="preserve"> PAGE   \* MERGEFORMAT </w:instrText>
    </w:r>
    <w:r>
      <w:rPr>
        <w:color w:val="0A1D30" w:themeColor="text2" w:themeShade="BF"/>
      </w:rPr>
      <w:fldChar w:fldCharType="separate"/>
    </w:r>
    <w:r>
      <w:rPr>
        <w:noProof/>
        <w:color w:val="0A1D30" w:themeColor="text2" w:themeShade="BF"/>
      </w:rPr>
      <w:t>1</w:t>
    </w:r>
    <w:r>
      <w:rPr>
        <w:color w:val="0A1D30" w:themeColor="text2" w:themeShade="BF"/>
      </w:rPr>
      <w:fldChar w:fldCharType="end"/>
    </w:r>
    <w:r>
      <w:rPr>
        <w:color w:val="0A1D30" w:themeColor="text2" w:themeShade="BF"/>
      </w:rPr>
      <w:t xml:space="preserve"> | </w:t>
    </w:r>
    <w:r>
      <w:rPr>
        <w:color w:val="0A1D30" w:themeColor="text2" w:themeShade="BF"/>
      </w:rPr>
      <w:fldChar w:fldCharType="begin"/>
    </w:r>
    <w:r>
      <w:rPr>
        <w:color w:val="0A1D30" w:themeColor="text2" w:themeShade="BF"/>
      </w:rPr>
      <w:instrText xml:space="preserve"> NUMPAGES  \* Arabic  \* MERGEFORMAT </w:instrText>
    </w:r>
    <w:r>
      <w:rPr>
        <w:color w:val="0A1D30" w:themeColor="text2" w:themeShade="BF"/>
      </w:rPr>
      <w:fldChar w:fldCharType="separate"/>
    </w:r>
    <w:r>
      <w:rPr>
        <w:noProof/>
        <w:color w:val="0A1D30" w:themeColor="text2" w:themeShade="BF"/>
      </w:rPr>
      <w:t>1</w:t>
    </w:r>
    <w:r>
      <w:rPr>
        <w:color w:val="0A1D30" w:themeColor="text2" w:themeShade="BF"/>
      </w:rPr>
      <w:fldChar w:fldCharType="end"/>
    </w:r>
  </w:p>
  <w:p w14:paraId="43E3DF19" w14:textId="77777777" w:rsidR="00855813" w:rsidRDefault="0085581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6C06A70" w14:textId="77777777" w:rsidR="00A2080F" w:rsidRDefault="00A2080F" w:rsidP="00440368">
      <w:pPr>
        <w:spacing w:after="0" w:line="240" w:lineRule="auto"/>
      </w:pPr>
      <w:r>
        <w:separator/>
      </w:r>
    </w:p>
  </w:footnote>
  <w:footnote w:type="continuationSeparator" w:id="0">
    <w:p w14:paraId="0C12630C" w14:textId="77777777" w:rsidR="00A2080F" w:rsidRDefault="00A2080F" w:rsidP="00440368">
      <w:pPr>
        <w:spacing w:after="0" w:line="240" w:lineRule="auto"/>
      </w:pPr>
      <w:r>
        <w:continuationSeparator/>
      </w:r>
    </w:p>
  </w:footnote>
  <w:footnote w:id="1">
    <w:p w14:paraId="7DD68FFB" w14:textId="53AD573B" w:rsidR="008D6ACA" w:rsidRPr="00E60409" w:rsidRDefault="008D6ACA">
      <w:pPr>
        <w:pStyle w:val="FootnoteText"/>
        <w:rPr>
          <w:rFonts w:ascii="Garamond" w:hAnsi="Garamond" w:cs="Adobe Devanagari"/>
          <w:sz w:val="22"/>
          <w:szCs w:val="22"/>
        </w:rPr>
      </w:pPr>
      <w:r w:rsidRPr="00E60409">
        <w:rPr>
          <w:rStyle w:val="FootnoteReference"/>
          <w:rFonts w:ascii="Garamond" w:hAnsi="Garamond" w:cs="Adobe Devanagari"/>
          <w:sz w:val="22"/>
          <w:szCs w:val="22"/>
        </w:rPr>
        <w:footnoteRef/>
      </w:r>
      <w:r w:rsidRPr="00E60409">
        <w:rPr>
          <w:rFonts w:ascii="Garamond" w:hAnsi="Garamond" w:cs="Adobe Devanagari"/>
          <w:sz w:val="22"/>
          <w:szCs w:val="22"/>
        </w:rPr>
        <w:t xml:space="preserve"> </w:t>
      </w:r>
      <w:r w:rsidR="00C069D1" w:rsidRPr="00E60409">
        <w:rPr>
          <w:rFonts w:ascii="Garamond" w:hAnsi="Garamond" w:cs="Adobe Devanagari"/>
          <w:sz w:val="22"/>
          <w:szCs w:val="22"/>
        </w:rPr>
        <w:t xml:space="preserve">The American Presidency Project, </w:t>
      </w:r>
      <w:hyperlink r:id="rId1" w:history="1">
        <w:r w:rsidR="00C069D1" w:rsidRPr="00E60409">
          <w:rPr>
            <w:rStyle w:val="Hyperlink"/>
            <w:rFonts w:ascii="Garamond" w:hAnsi="Garamond" w:cs="Adobe Devanagari"/>
            <w:sz w:val="22"/>
            <w:szCs w:val="22"/>
          </w:rPr>
          <w:t>1860 | The American Presidency Project</w:t>
        </w:r>
      </w:hyperlink>
    </w:p>
  </w:footnote>
  <w:footnote w:id="2">
    <w:p w14:paraId="126D92F9" w14:textId="2A65D579" w:rsidR="00440368" w:rsidRDefault="00440368" w:rsidP="00440368">
      <w:pPr>
        <w:pStyle w:val="Footnote"/>
      </w:pPr>
      <w:r>
        <w:rPr>
          <w:rFonts w:ascii="Garamond" w:eastAsia="Garamond" w:hAnsi="Garamond" w:cs="Garamond"/>
          <w:vertAlign w:val="superscript"/>
        </w:rPr>
        <w:footnoteRef/>
      </w:r>
      <w:r>
        <w:rPr>
          <w:rFonts w:ascii="Garamond" w:hAnsi="Garamond"/>
        </w:rPr>
        <w:t xml:space="preserve"> Johnson, Andrew. “Speech on Secession [December 18-19, 1860].” </w:t>
      </w:r>
      <w:r>
        <w:rPr>
          <w:rFonts w:ascii="Garamond" w:hAnsi="Garamond"/>
          <w:i/>
          <w:iCs/>
        </w:rPr>
        <w:t>The Papers of Andrew Johnson</w:t>
      </w:r>
      <w:r>
        <w:rPr>
          <w:rFonts w:ascii="Garamond" w:hAnsi="Garamond"/>
        </w:rPr>
        <w:t xml:space="preserve">, edited by Leroy P. Graf and Ralph W. Haskins, vol. 4, The University of Tennessee Press, 1976, p. 6 </w:t>
      </w:r>
      <w:r w:rsidR="002D7815">
        <w:rPr>
          <w:rFonts w:ascii="Garamond" w:hAnsi="Garamond"/>
        </w:rPr>
        <w:t>and 32</w:t>
      </w:r>
      <w:r w:rsidR="00BC1179">
        <w:rPr>
          <w:rFonts w:ascii="Garamond" w:hAnsi="Garamond"/>
        </w:rPr>
        <w:t xml:space="preserve">-33, </w:t>
      </w:r>
      <w:r>
        <w:rPr>
          <w:rFonts w:ascii="Garamond" w:hAnsi="Garamond"/>
        </w:rPr>
        <w:t xml:space="preserve">and Johnson, Andrew. “Appointment as Military Governor [War Department / March 3rd. 1862].” </w:t>
      </w:r>
      <w:r>
        <w:rPr>
          <w:rFonts w:ascii="Garamond" w:hAnsi="Garamond"/>
          <w:i/>
          <w:iCs/>
        </w:rPr>
        <w:t>The Papers of Andrew Johnson</w:t>
      </w:r>
      <w:r>
        <w:rPr>
          <w:rFonts w:ascii="Garamond" w:hAnsi="Garamond"/>
        </w:rPr>
        <w:t xml:space="preserve">, edited by Leroy P. Graf and Ralph W. Haskins, vol. 5, The University of Tennessee Press, 1979, p. 177 </w:t>
      </w:r>
    </w:p>
  </w:footnote>
  <w:footnote w:id="3">
    <w:p w14:paraId="10AC0F5C" w14:textId="77777777" w:rsidR="00440368" w:rsidRDefault="00440368" w:rsidP="00440368">
      <w:pPr>
        <w:pStyle w:val="Footnote"/>
      </w:pPr>
      <w:r>
        <w:rPr>
          <w:rFonts w:ascii="Garamond" w:eastAsia="Garamond" w:hAnsi="Garamond" w:cs="Garamond"/>
          <w:vertAlign w:val="superscript"/>
        </w:rPr>
        <w:footnoteRef/>
      </w:r>
      <w:r>
        <w:rPr>
          <w:rFonts w:ascii="Garamond" w:hAnsi="Garamond"/>
        </w:rPr>
        <w:t xml:space="preserve"> Johnson, Andrew. “Speech on Secession [December 18-19, 1860].” </w:t>
      </w:r>
      <w:r>
        <w:rPr>
          <w:rFonts w:ascii="Garamond" w:hAnsi="Garamond"/>
          <w:i/>
          <w:iCs/>
        </w:rPr>
        <w:t>The Papers of Andrew Johnson</w:t>
      </w:r>
      <w:r>
        <w:rPr>
          <w:rFonts w:ascii="Garamond" w:hAnsi="Garamond"/>
        </w:rPr>
        <w:t>, edited by Leroy P. Graf and Ralph W. Haskins, vol. 4, The University of Tennessee Press, 1976, p. 32-33</w:t>
      </w:r>
    </w:p>
  </w:footnote>
  <w:footnote w:id="4">
    <w:p w14:paraId="33D5F90A" w14:textId="77777777" w:rsidR="00440368" w:rsidRDefault="00440368" w:rsidP="00440368">
      <w:pPr>
        <w:pStyle w:val="Footnote"/>
      </w:pPr>
      <w:r>
        <w:rPr>
          <w:rFonts w:ascii="Garamond" w:eastAsia="Garamond" w:hAnsi="Garamond" w:cs="Garamond"/>
          <w:vertAlign w:val="superscript"/>
        </w:rPr>
        <w:footnoteRef/>
      </w:r>
      <w:r>
        <w:rPr>
          <w:rFonts w:ascii="Garamond" w:hAnsi="Garamond"/>
        </w:rPr>
        <w:t xml:space="preserve"> Johnson, Andrew. “From Charles Johnson [Greeneville Jany 1st 1861].” </w:t>
      </w:r>
      <w:r>
        <w:rPr>
          <w:rFonts w:ascii="Garamond" w:hAnsi="Garamond"/>
          <w:i/>
          <w:iCs/>
        </w:rPr>
        <w:t>The Papers of Andrew Johnson</w:t>
      </w:r>
      <w:r>
        <w:rPr>
          <w:rFonts w:ascii="Garamond" w:hAnsi="Garamond"/>
        </w:rPr>
        <w:t>, edited by Leroy P. Graf and Ralph W. Haskins, vol. 4, The University of Tennessee Press, 1976, p. 110-111</w:t>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40368"/>
    <w:rsid w:val="001523B9"/>
    <w:rsid w:val="002D7815"/>
    <w:rsid w:val="00346DEF"/>
    <w:rsid w:val="003A168F"/>
    <w:rsid w:val="00436871"/>
    <w:rsid w:val="00440368"/>
    <w:rsid w:val="004637D1"/>
    <w:rsid w:val="004E2E98"/>
    <w:rsid w:val="005025A8"/>
    <w:rsid w:val="005319D9"/>
    <w:rsid w:val="00567C21"/>
    <w:rsid w:val="00600490"/>
    <w:rsid w:val="006B7975"/>
    <w:rsid w:val="00724769"/>
    <w:rsid w:val="0073081E"/>
    <w:rsid w:val="00736A5C"/>
    <w:rsid w:val="00820CB5"/>
    <w:rsid w:val="00855813"/>
    <w:rsid w:val="008849A1"/>
    <w:rsid w:val="00887314"/>
    <w:rsid w:val="008B20DD"/>
    <w:rsid w:val="008C2F35"/>
    <w:rsid w:val="008D6ACA"/>
    <w:rsid w:val="00916498"/>
    <w:rsid w:val="009B4BE5"/>
    <w:rsid w:val="00A2028E"/>
    <w:rsid w:val="00A2080F"/>
    <w:rsid w:val="00A25778"/>
    <w:rsid w:val="00A371EB"/>
    <w:rsid w:val="00AB2667"/>
    <w:rsid w:val="00B06812"/>
    <w:rsid w:val="00B33328"/>
    <w:rsid w:val="00B70B65"/>
    <w:rsid w:val="00BC1179"/>
    <w:rsid w:val="00BF1B5E"/>
    <w:rsid w:val="00C069D1"/>
    <w:rsid w:val="00C414E2"/>
    <w:rsid w:val="00CF5F18"/>
    <w:rsid w:val="00E05480"/>
    <w:rsid w:val="00E35786"/>
    <w:rsid w:val="00E37BB5"/>
    <w:rsid w:val="00E60409"/>
    <w:rsid w:val="00E751ED"/>
    <w:rsid w:val="00EF772B"/>
    <w:rsid w:val="00F0151C"/>
    <w:rsid w:val="00F14FF2"/>
    <w:rsid w:val="00F50BF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191D22E"/>
  <w15:chartTrackingRefBased/>
  <w15:docId w15:val="{E1D3B9A0-D176-4D2C-97C4-465EDD87A14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440368"/>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440368"/>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440368"/>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440368"/>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440368"/>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440368"/>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440368"/>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440368"/>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440368"/>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440368"/>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440368"/>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440368"/>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440368"/>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440368"/>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440368"/>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440368"/>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440368"/>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440368"/>
    <w:rPr>
      <w:rFonts w:eastAsiaTheme="majorEastAsia" w:cstheme="majorBidi"/>
      <w:color w:val="272727" w:themeColor="text1" w:themeTint="D8"/>
    </w:rPr>
  </w:style>
  <w:style w:type="paragraph" w:styleId="Title">
    <w:name w:val="Title"/>
    <w:basedOn w:val="Normal"/>
    <w:next w:val="Normal"/>
    <w:link w:val="TitleChar"/>
    <w:uiPriority w:val="10"/>
    <w:qFormat/>
    <w:rsid w:val="00440368"/>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440368"/>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440368"/>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440368"/>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440368"/>
    <w:pPr>
      <w:spacing w:before="160"/>
      <w:jc w:val="center"/>
    </w:pPr>
    <w:rPr>
      <w:i/>
      <w:iCs/>
      <w:color w:val="404040" w:themeColor="text1" w:themeTint="BF"/>
    </w:rPr>
  </w:style>
  <w:style w:type="character" w:customStyle="1" w:styleId="QuoteChar">
    <w:name w:val="Quote Char"/>
    <w:basedOn w:val="DefaultParagraphFont"/>
    <w:link w:val="Quote"/>
    <w:uiPriority w:val="29"/>
    <w:rsid w:val="00440368"/>
    <w:rPr>
      <w:i/>
      <w:iCs/>
      <w:color w:val="404040" w:themeColor="text1" w:themeTint="BF"/>
    </w:rPr>
  </w:style>
  <w:style w:type="paragraph" w:styleId="ListParagraph">
    <w:name w:val="List Paragraph"/>
    <w:basedOn w:val="Normal"/>
    <w:uiPriority w:val="34"/>
    <w:qFormat/>
    <w:rsid w:val="00440368"/>
    <w:pPr>
      <w:ind w:left="720"/>
      <w:contextualSpacing/>
    </w:pPr>
  </w:style>
  <w:style w:type="character" w:styleId="IntenseEmphasis">
    <w:name w:val="Intense Emphasis"/>
    <w:basedOn w:val="DefaultParagraphFont"/>
    <w:uiPriority w:val="21"/>
    <w:qFormat/>
    <w:rsid w:val="00440368"/>
    <w:rPr>
      <w:i/>
      <w:iCs/>
      <w:color w:val="0F4761" w:themeColor="accent1" w:themeShade="BF"/>
    </w:rPr>
  </w:style>
  <w:style w:type="paragraph" w:styleId="IntenseQuote">
    <w:name w:val="Intense Quote"/>
    <w:basedOn w:val="Normal"/>
    <w:next w:val="Normal"/>
    <w:link w:val="IntenseQuoteChar"/>
    <w:uiPriority w:val="30"/>
    <w:qFormat/>
    <w:rsid w:val="00440368"/>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440368"/>
    <w:rPr>
      <w:i/>
      <w:iCs/>
      <w:color w:val="0F4761" w:themeColor="accent1" w:themeShade="BF"/>
    </w:rPr>
  </w:style>
  <w:style w:type="character" w:styleId="IntenseReference">
    <w:name w:val="Intense Reference"/>
    <w:basedOn w:val="DefaultParagraphFont"/>
    <w:uiPriority w:val="32"/>
    <w:qFormat/>
    <w:rsid w:val="00440368"/>
    <w:rPr>
      <w:b/>
      <w:bCs/>
      <w:smallCaps/>
      <w:color w:val="0F4761" w:themeColor="accent1" w:themeShade="BF"/>
      <w:spacing w:val="5"/>
    </w:rPr>
  </w:style>
  <w:style w:type="paragraph" w:customStyle="1" w:styleId="Body">
    <w:name w:val="Body"/>
    <w:rsid w:val="00440368"/>
    <w:pPr>
      <w:pBdr>
        <w:top w:val="nil"/>
        <w:left w:val="nil"/>
        <w:bottom w:val="nil"/>
        <w:right w:val="nil"/>
        <w:between w:val="nil"/>
        <w:bar w:val="nil"/>
      </w:pBdr>
      <w:spacing w:after="0" w:line="240" w:lineRule="auto"/>
    </w:pPr>
    <w:rPr>
      <w:rFonts w:ascii="Helvetica" w:eastAsia="Arial Unicode MS" w:hAnsi="Helvetica" w:cs="Arial Unicode MS"/>
      <w:color w:val="000000"/>
      <w:kern w:val="0"/>
      <w:sz w:val="22"/>
      <w:szCs w:val="22"/>
      <w:bdr w:val="nil"/>
      <w14:textOutline w14:w="0" w14:cap="flat" w14:cmpd="sng" w14:algn="ctr">
        <w14:noFill/>
        <w14:prstDash w14:val="solid"/>
        <w14:bevel/>
      </w14:textOutline>
      <w14:ligatures w14:val="none"/>
    </w:rPr>
  </w:style>
  <w:style w:type="paragraph" w:customStyle="1" w:styleId="Default">
    <w:name w:val="Default"/>
    <w:rsid w:val="00440368"/>
    <w:pPr>
      <w:pBdr>
        <w:top w:val="nil"/>
        <w:left w:val="nil"/>
        <w:bottom w:val="nil"/>
        <w:right w:val="nil"/>
        <w:between w:val="nil"/>
        <w:bar w:val="nil"/>
      </w:pBdr>
      <w:spacing w:after="0" w:line="240" w:lineRule="auto"/>
    </w:pPr>
    <w:rPr>
      <w:rFonts w:ascii="Helvetica" w:eastAsia="Arial Unicode MS" w:hAnsi="Helvetica" w:cs="Arial Unicode MS"/>
      <w:color w:val="000000"/>
      <w:kern w:val="0"/>
      <w:sz w:val="22"/>
      <w:szCs w:val="22"/>
      <w:bdr w:val="nil"/>
      <w14:textOutline w14:w="0" w14:cap="flat" w14:cmpd="sng" w14:algn="ctr">
        <w14:noFill/>
        <w14:prstDash w14:val="solid"/>
        <w14:bevel/>
      </w14:textOutline>
      <w14:ligatures w14:val="none"/>
    </w:rPr>
  </w:style>
  <w:style w:type="paragraph" w:customStyle="1" w:styleId="Footnote">
    <w:name w:val="Footnote"/>
    <w:rsid w:val="00440368"/>
    <w:pPr>
      <w:pBdr>
        <w:top w:val="nil"/>
        <w:left w:val="nil"/>
        <w:bottom w:val="nil"/>
        <w:right w:val="nil"/>
        <w:between w:val="nil"/>
        <w:bar w:val="nil"/>
      </w:pBdr>
      <w:spacing w:after="0" w:line="240" w:lineRule="auto"/>
    </w:pPr>
    <w:rPr>
      <w:rFonts w:ascii="Helvetica" w:eastAsia="Helvetica" w:hAnsi="Helvetica" w:cs="Helvetica"/>
      <w:color w:val="000000"/>
      <w:kern w:val="0"/>
      <w:sz w:val="22"/>
      <w:szCs w:val="22"/>
      <w:bdr w:val="nil"/>
      <w14:textOutline w14:w="0" w14:cap="flat" w14:cmpd="sng" w14:algn="ctr">
        <w14:noFill/>
        <w14:prstDash w14:val="solid"/>
        <w14:bevel/>
      </w14:textOutline>
      <w14:ligatures w14:val="none"/>
    </w:rPr>
  </w:style>
  <w:style w:type="paragraph" w:styleId="Header">
    <w:name w:val="header"/>
    <w:basedOn w:val="Normal"/>
    <w:link w:val="HeaderChar"/>
    <w:uiPriority w:val="99"/>
    <w:unhideWhenUsed/>
    <w:rsid w:val="00855813"/>
    <w:pPr>
      <w:tabs>
        <w:tab w:val="center" w:pos="4680"/>
        <w:tab w:val="right" w:pos="9360"/>
      </w:tabs>
      <w:spacing w:after="0" w:line="240" w:lineRule="auto"/>
    </w:pPr>
  </w:style>
  <w:style w:type="character" w:customStyle="1" w:styleId="HeaderChar">
    <w:name w:val="Header Char"/>
    <w:basedOn w:val="DefaultParagraphFont"/>
    <w:link w:val="Header"/>
    <w:uiPriority w:val="99"/>
    <w:rsid w:val="00855813"/>
  </w:style>
  <w:style w:type="paragraph" w:styleId="Footer">
    <w:name w:val="footer"/>
    <w:basedOn w:val="Normal"/>
    <w:link w:val="FooterChar"/>
    <w:uiPriority w:val="99"/>
    <w:unhideWhenUsed/>
    <w:rsid w:val="00855813"/>
    <w:pPr>
      <w:tabs>
        <w:tab w:val="center" w:pos="4680"/>
        <w:tab w:val="right" w:pos="9360"/>
      </w:tabs>
      <w:spacing w:after="0" w:line="240" w:lineRule="auto"/>
    </w:pPr>
  </w:style>
  <w:style w:type="character" w:customStyle="1" w:styleId="FooterChar">
    <w:name w:val="Footer Char"/>
    <w:basedOn w:val="DefaultParagraphFont"/>
    <w:link w:val="Footer"/>
    <w:uiPriority w:val="99"/>
    <w:rsid w:val="00855813"/>
  </w:style>
  <w:style w:type="paragraph" w:styleId="FootnoteText">
    <w:name w:val="footnote text"/>
    <w:basedOn w:val="Normal"/>
    <w:link w:val="FootnoteTextChar"/>
    <w:uiPriority w:val="99"/>
    <w:semiHidden/>
    <w:unhideWhenUsed/>
    <w:rsid w:val="008D6ACA"/>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8D6ACA"/>
    <w:rPr>
      <w:sz w:val="20"/>
      <w:szCs w:val="20"/>
    </w:rPr>
  </w:style>
  <w:style w:type="character" w:styleId="FootnoteReference">
    <w:name w:val="footnote reference"/>
    <w:basedOn w:val="DefaultParagraphFont"/>
    <w:uiPriority w:val="99"/>
    <w:semiHidden/>
    <w:unhideWhenUsed/>
    <w:rsid w:val="008D6ACA"/>
    <w:rPr>
      <w:vertAlign w:val="superscript"/>
    </w:rPr>
  </w:style>
  <w:style w:type="character" w:styleId="Hyperlink">
    <w:name w:val="Hyperlink"/>
    <w:basedOn w:val="DefaultParagraphFont"/>
    <w:uiPriority w:val="99"/>
    <w:unhideWhenUsed/>
    <w:rsid w:val="00C069D1"/>
    <w:rPr>
      <w:color w:val="467886" w:themeColor="hyperlink"/>
      <w:u w:val="single"/>
    </w:rPr>
  </w:style>
  <w:style w:type="character" w:styleId="UnresolvedMention">
    <w:name w:val="Unresolved Mention"/>
    <w:basedOn w:val="DefaultParagraphFont"/>
    <w:uiPriority w:val="99"/>
    <w:semiHidden/>
    <w:unhideWhenUsed/>
    <w:rsid w:val="00C069D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footnotes.xml.rels><?xml version="1.0" encoding="UTF-8" standalone="yes"?>
<Relationships xmlns="http://schemas.openxmlformats.org/package/2006/relationships"><Relationship Id="rId1" Type="http://schemas.openxmlformats.org/officeDocument/2006/relationships/hyperlink" Target="https://www.presidency.ucsb.edu/statistics/elections/1860"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762CBE5-4F9C-4DF0-8E59-F02E61F9C8C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4</Pages>
  <Words>794</Words>
  <Characters>4530</Characters>
  <Application>Microsoft Office Word</Application>
  <DocSecurity>0</DocSecurity>
  <Lines>37</Lines>
  <Paragraphs>10</Paragraphs>
  <ScaleCrop>false</ScaleCrop>
  <Company/>
  <LinksUpToDate>false</LinksUpToDate>
  <CharactersWithSpaces>5314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Sara Kumar</dc:creator>
  <cp:keywords/>
  <dc:description/>
  <cp:lastModifiedBy>Sara Kumar</cp:lastModifiedBy>
  <cp:revision>2</cp:revision>
  <dcterms:created xsi:type="dcterms:W3CDTF">2026-09-05T16:57:00Z</dcterms:created>
  <dcterms:modified xsi:type="dcterms:W3CDTF">2026-09-05T16:57:00Z</dcterms:modified>
</cp:coreProperties>
</file>